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A" w:rsidRDefault="00582A68">
      <w:pPr>
        <w:framePr w:w="1560" w:wrap="auto" w:hAnchor="text" w:x="1182" w:y="174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737D">
        <w:rPr>
          <w:rFonts w:ascii="新細明體" w:hAnsi="新細明體" w:cs="新細明體"/>
          <w:color w:val="000000"/>
          <w:kern w:val="0"/>
          <w:sz w:val="25"/>
          <w:szCs w:val="25"/>
        </w:rPr>
        <w:t>附件</w:t>
      </w:r>
      <w:r w:rsidR="00EA5622">
        <w:rPr>
          <w:rFonts w:ascii="新細明體" w:hAnsi="新細明體" w:cs="新細明體" w:hint="eastAsia"/>
          <w:color w:val="000000"/>
          <w:kern w:val="0"/>
          <w:sz w:val="25"/>
          <w:szCs w:val="25"/>
        </w:rPr>
        <w:t>1</w:t>
      </w:r>
    </w:p>
    <w:p w:rsidR="00123C3A" w:rsidRDefault="002A737D">
      <w:pPr>
        <w:framePr w:w="3521" w:wrap="auto" w:hAnchor="text" w:x="2303" w:y="174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25"/>
          <w:szCs w:val="25"/>
        </w:rPr>
        <w:t>立即暫時停止作業條款</w:t>
      </w:r>
    </w:p>
    <w:p w:rsidR="00123C3A" w:rsidRDefault="002A737D">
      <w:pPr>
        <w:framePr w:w="9954" w:wrap="auto" w:hAnchor="text" w:x="1197" w:y="228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proofErr w:type="gramStart"/>
      <w:r>
        <w:rPr>
          <w:rFonts w:ascii="細明體" w:hAnsi="細明體" w:cs="細明體"/>
          <w:color w:val="000000"/>
          <w:kern w:val="0"/>
          <w:sz w:val="21"/>
          <w:szCs w:val="21"/>
        </w:rPr>
        <w:t>（</w:t>
      </w:r>
      <w:proofErr w:type="gramEnd"/>
      <w:r>
        <w:rPr>
          <w:rFonts w:ascii="細明體" w:hAnsi="細明體" w:cs="細明體"/>
          <w:color w:val="000000"/>
          <w:kern w:val="0"/>
          <w:sz w:val="21"/>
          <w:szCs w:val="21"/>
        </w:rPr>
        <w:t>針對工程中有立即發生危險之虞之類型如下：一、墜落。二、</w:t>
      </w:r>
      <w:proofErr w:type="gramStart"/>
      <w:r>
        <w:rPr>
          <w:rFonts w:ascii="細明體" w:hAnsi="細明體" w:cs="細明體"/>
          <w:color w:val="000000"/>
          <w:kern w:val="0"/>
          <w:sz w:val="21"/>
          <w:szCs w:val="21"/>
        </w:rPr>
        <w:t>感電</w:t>
      </w:r>
      <w:proofErr w:type="gramEnd"/>
      <w:r>
        <w:rPr>
          <w:rFonts w:ascii="細明體" w:hAnsi="細明體" w:cs="細明體"/>
          <w:color w:val="000000"/>
          <w:kern w:val="0"/>
          <w:sz w:val="21"/>
          <w:szCs w:val="21"/>
        </w:rPr>
        <w:t>。三、倒塌、崩塌。</w:t>
      </w:r>
    </w:p>
    <w:p w:rsidR="00123C3A" w:rsidRDefault="002A737D">
      <w:pPr>
        <w:framePr w:w="9837" w:wrap="auto" w:hAnchor="text" w:x="1209" w:y="275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21"/>
          <w:szCs w:val="21"/>
        </w:rPr>
        <w:t>四、火災、爆炸。五、中毒、缺氧等，依據勞動檢查法第二十八條第二項規定訂定本條</w:t>
      </w:r>
    </w:p>
    <w:p w:rsidR="00123C3A" w:rsidRDefault="002A737D">
      <w:pPr>
        <w:framePr w:w="1439" w:wrap="auto" w:hAnchor="text" w:x="1209" w:y="321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21"/>
          <w:szCs w:val="21"/>
        </w:rPr>
        <w:t>款。）</w:t>
      </w:r>
    </w:p>
    <w:p w:rsidR="00123C3A" w:rsidRDefault="002A737D">
      <w:pPr>
        <w:framePr w:w="1677" w:wrap="auto" w:hAnchor="text" w:x="1475" w:y="395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21"/>
          <w:szCs w:val="21"/>
        </w:rPr>
        <w:t xml:space="preserve">項 </w:t>
      </w:r>
      <w:r w:rsidR="00EA5622">
        <w:rPr>
          <w:rFonts w:ascii="新細明體" w:hAnsi="新細明體" w:cs="新細明體" w:hint="eastAsia"/>
          <w:color w:val="000000"/>
          <w:kern w:val="0"/>
          <w:sz w:val="21"/>
          <w:szCs w:val="21"/>
        </w:rPr>
        <w:t xml:space="preserve"> </w:t>
      </w:r>
      <w:r>
        <w:rPr>
          <w:rFonts w:ascii="新細明體" w:hAnsi="新細明體" w:cs="新細明體"/>
          <w:color w:val="000000"/>
          <w:kern w:val="0"/>
          <w:sz w:val="21"/>
          <w:szCs w:val="21"/>
        </w:rPr>
        <w:t>相關</w:t>
      </w:r>
    </w:p>
    <w:p w:rsidR="00123C3A" w:rsidRDefault="002A737D">
      <w:pPr>
        <w:framePr w:w="1677" w:wrap="auto" w:hAnchor="text" w:x="1475" w:y="395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21"/>
          <w:szCs w:val="21"/>
        </w:rPr>
        <w:t xml:space="preserve">次 </w:t>
      </w:r>
      <w:r w:rsidR="00EA5622">
        <w:rPr>
          <w:rFonts w:ascii="新細明體" w:hAnsi="新細明體" w:cs="新細明體" w:hint="eastAsia"/>
          <w:color w:val="000000"/>
          <w:kern w:val="0"/>
          <w:sz w:val="21"/>
          <w:szCs w:val="21"/>
        </w:rPr>
        <w:t xml:space="preserve"> </w:t>
      </w:r>
      <w:r>
        <w:rPr>
          <w:rFonts w:ascii="新細明體" w:hAnsi="新細明體" w:cs="新細明體"/>
          <w:color w:val="000000"/>
          <w:kern w:val="0"/>
          <w:sz w:val="21"/>
          <w:szCs w:val="21"/>
        </w:rPr>
        <w:t>職災</w:t>
      </w:r>
    </w:p>
    <w:p w:rsidR="00123C3A" w:rsidRDefault="002A737D">
      <w:pPr>
        <w:framePr w:w="839" w:wrap="auto" w:hAnchor="text" w:x="1535" w:y="470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1</w:t>
      </w:r>
    </w:p>
    <w:p w:rsidR="00123C3A" w:rsidRDefault="002A737D">
      <w:pPr>
        <w:framePr w:w="839" w:wrap="auto" w:hAnchor="text" w:x="1535" w:y="5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2</w:t>
      </w:r>
    </w:p>
    <w:p w:rsidR="00123C3A" w:rsidRDefault="002A737D">
      <w:pPr>
        <w:framePr w:w="839" w:wrap="auto" w:hAnchor="text" w:x="1535" w:y="623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3</w:t>
      </w:r>
    </w:p>
    <w:p w:rsidR="00123C3A" w:rsidRDefault="002A737D">
      <w:pPr>
        <w:framePr w:w="839" w:wrap="auto" w:hAnchor="text" w:x="1535" w:y="693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4</w:t>
      </w:r>
    </w:p>
    <w:p w:rsidR="00123C3A" w:rsidRDefault="002A737D">
      <w:pPr>
        <w:framePr w:w="839" w:wrap="auto" w:hAnchor="text" w:x="1535" w:y="749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5</w:t>
      </w:r>
    </w:p>
    <w:p w:rsidR="00123C3A" w:rsidRDefault="002A737D">
      <w:pPr>
        <w:framePr w:w="839" w:wrap="auto" w:hAnchor="text" w:x="1535" w:y="832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6</w:t>
      </w:r>
    </w:p>
    <w:p w:rsidR="00123C3A" w:rsidRDefault="002A737D">
      <w:pPr>
        <w:framePr w:w="929" w:wrap="auto" w:hAnchor="text" w:x="2087" w:y="490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有</w:t>
      </w:r>
    </w:p>
    <w:p w:rsidR="00123C3A" w:rsidRDefault="002A737D">
      <w:pPr>
        <w:framePr w:w="929" w:wrap="auto" w:hAnchor="text" w:x="2087" w:y="490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立</w:t>
      </w:r>
    </w:p>
    <w:p w:rsidR="00123C3A" w:rsidRDefault="002A737D">
      <w:pPr>
        <w:framePr w:w="929" w:wrap="auto" w:hAnchor="text" w:x="2087" w:y="490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即</w:t>
      </w:r>
    </w:p>
    <w:p w:rsidR="00123C3A" w:rsidRDefault="002A737D">
      <w:pPr>
        <w:framePr w:w="929" w:wrap="auto" w:hAnchor="text" w:x="2087" w:y="490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發</w:t>
      </w:r>
    </w:p>
    <w:p w:rsidR="00123C3A" w:rsidRDefault="002A737D">
      <w:pPr>
        <w:framePr w:w="929" w:wrap="auto" w:hAnchor="text" w:x="2087" w:y="490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生</w:t>
      </w:r>
    </w:p>
    <w:p w:rsidR="00123C3A" w:rsidRDefault="002A737D">
      <w:pPr>
        <w:framePr w:w="929" w:wrap="auto" w:hAnchor="text" w:x="2087" w:y="490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proofErr w:type="gramStart"/>
      <w:r>
        <w:rPr>
          <w:rFonts w:ascii="細明體" w:hAnsi="細明體" w:cs="細明體"/>
          <w:color w:val="000000"/>
          <w:kern w:val="0"/>
          <w:sz w:val="19"/>
          <w:szCs w:val="19"/>
        </w:rPr>
        <w:t>墜</w:t>
      </w:r>
      <w:proofErr w:type="gramEnd"/>
    </w:p>
    <w:p w:rsidR="00123C3A" w:rsidRDefault="002A737D">
      <w:pPr>
        <w:framePr w:w="929" w:wrap="auto" w:hAnchor="text" w:x="2087" w:y="490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落</w:t>
      </w:r>
    </w:p>
    <w:p w:rsidR="00123C3A" w:rsidRDefault="002A737D">
      <w:pPr>
        <w:framePr w:w="929" w:wrap="auto" w:hAnchor="text" w:x="2087" w:y="490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危</w:t>
      </w:r>
    </w:p>
    <w:p w:rsidR="00123C3A" w:rsidRDefault="002A737D">
      <w:pPr>
        <w:framePr w:w="929" w:wrap="auto" w:hAnchor="text" w:x="2087" w:y="490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險</w:t>
      </w:r>
    </w:p>
    <w:p w:rsidR="00123C3A" w:rsidRDefault="002A737D">
      <w:pPr>
        <w:framePr w:w="929" w:wrap="auto" w:hAnchor="text" w:x="2087" w:y="490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之</w:t>
      </w:r>
    </w:p>
    <w:p w:rsidR="00123C3A" w:rsidRDefault="002A737D">
      <w:pPr>
        <w:framePr w:w="929" w:wrap="auto" w:hAnchor="text" w:x="2087" w:y="490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虞</w:t>
      </w:r>
    </w:p>
    <w:p w:rsidR="00123C3A" w:rsidRDefault="002A737D">
      <w:pPr>
        <w:framePr w:w="929" w:wrap="auto" w:hAnchor="text" w:x="2087" w:y="490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之</w:t>
      </w:r>
    </w:p>
    <w:p w:rsidR="00123C3A" w:rsidRDefault="002A737D">
      <w:pPr>
        <w:framePr w:w="929" w:wrap="auto" w:hAnchor="text" w:x="2087" w:y="490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情</w:t>
      </w:r>
    </w:p>
    <w:p w:rsidR="00123C3A" w:rsidRDefault="002A737D">
      <w:pPr>
        <w:framePr w:w="929" w:wrap="auto" w:hAnchor="text" w:x="2087" w:y="490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事</w:t>
      </w:r>
    </w:p>
    <w:p w:rsidR="00123C3A" w:rsidRDefault="002A737D">
      <w:pPr>
        <w:framePr w:w="959" w:wrap="auto" w:hAnchor="text" w:x="5695" w:y="41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21"/>
          <w:szCs w:val="21"/>
        </w:rPr>
        <w:t>內</w:t>
      </w:r>
    </w:p>
    <w:p w:rsidR="00123C3A" w:rsidRDefault="002A737D">
      <w:pPr>
        <w:framePr w:w="959" w:wrap="auto" w:hAnchor="text" w:x="6177" w:y="41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21"/>
          <w:szCs w:val="21"/>
        </w:rPr>
        <w:t>容</w:t>
      </w:r>
    </w:p>
    <w:p w:rsidR="00123C3A" w:rsidRDefault="002A737D">
      <w:pPr>
        <w:framePr w:w="1199" w:wrap="auto" w:hAnchor="text" w:x="9800" w:y="41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21"/>
          <w:szCs w:val="21"/>
        </w:rPr>
        <w:t>備註</w:t>
      </w:r>
    </w:p>
    <w:p w:rsidR="00123C3A" w:rsidRDefault="002A737D">
      <w:pPr>
        <w:framePr w:w="839" w:wrap="auto" w:hAnchor="text" w:x="1535" w:y="929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7</w:t>
      </w:r>
    </w:p>
    <w:p w:rsidR="00123C3A" w:rsidRDefault="002A737D">
      <w:pPr>
        <w:framePr w:w="929" w:wrap="auto" w:hAnchor="text" w:x="2087" w:y="1003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有</w:t>
      </w:r>
    </w:p>
    <w:p w:rsidR="00123C3A" w:rsidRDefault="002A737D">
      <w:pPr>
        <w:framePr w:w="929" w:wrap="auto" w:hAnchor="text" w:x="2087" w:y="1003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立</w:t>
      </w:r>
    </w:p>
    <w:p w:rsidR="00123C3A" w:rsidRDefault="002A737D">
      <w:pPr>
        <w:framePr w:w="929" w:wrap="auto" w:hAnchor="text" w:x="2087" w:y="1003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即</w:t>
      </w:r>
    </w:p>
    <w:p w:rsidR="00123C3A" w:rsidRDefault="002A737D">
      <w:pPr>
        <w:framePr w:w="929" w:wrap="auto" w:hAnchor="text" w:x="2087" w:y="1003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發</w:t>
      </w:r>
    </w:p>
    <w:p w:rsidR="00123C3A" w:rsidRDefault="002A737D">
      <w:pPr>
        <w:framePr w:w="929" w:wrap="auto" w:hAnchor="text" w:x="2087" w:y="1003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生</w:t>
      </w:r>
    </w:p>
    <w:p w:rsidR="00123C3A" w:rsidRDefault="002A737D">
      <w:pPr>
        <w:framePr w:w="929" w:wrap="auto" w:hAnchor="text" w:x="2087" w:y="1003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proofErr w:type="gramStart"/>
      <w:r>
        <w:rPr>
          <w:rFonts w:ascii="細明體" w:hAnsi="細明體" w:cs="細明體"/>
          <w:color w:val="000000"/>
          <w:kern w:val="0"/>
          <w:sz w:val="19"/>
          <w:szCs w:val="19"/>
        </w:rPr>
        <w:t>感</w:t>
      </w:r>
      <w:proofErr w:type="gramEnd"/>
    </w:p>
    <w:p w:rsidR="00123C3A" w:rsidRDefault="002A737D">
      <w:pPr>
        <w:framePr w:w="929" w:wrap="auto" w:hAnchor="text" w:x="2087" w:y="1003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電</w:t>
      </w:r>
    </w:p>
    <w:p w:rsidR="00123C3A" w:rsidRDefault="002A737D">
      <w:pPr>
        <w:framePr w:w="929" w:wrap="auto" w:hAnchor="text" w:x="2087" w:y="1003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危</w:t>
      </w:r>
    </w:p>
    <w:p w:rsidR="00123C3A" w:rsidRDefault="002A737D">
      <w:pPr>
        <w:framePr w:w="929" w:wrap="auto" w:hAnchor="text" w:x="2087" w:y="1003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險</w:t>
      </w:r>
    </w:p>
    <w:p w:rsidR="00123C3A" w:rsidRDefault="002A737D">
      <w:pPr>
        <w:framePr w:w="929" w:wrap="auto" w:hAnchor="text" w:x="2087" w:y="1003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之</w:t>
      </w:r>
    </w:p>
    <w:p w:rsidR="00123C3A" w:rsidRDefault="002A737D">
      <w:pPr>
        <w:framePr w:w="929" w:wrap="auto" w:hAnchor="text" w:x="2087" w:y="1003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虞</w:t>
      </w:r>
    </w:p>
    <w:p w:rsidR="00123C3A" w:rsidRDefault="002A737D">
      <w:pPr>
        <w:framePr w:w="929" w:wrap="auto" w:hAnchor="text" w:x="2087" w:y="1003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之</w:t>
      </w:r>
    </w:p>
    <w:p w:rsidR="00123C3A" w:rsidRDefault="002A737D">
      <w:pPr>
        <w:framePr w:w="929" w:wrap="auto" w:hAnchor="text" w:x="2087" w:y="1003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情</w:t>
      </w:r>
    </w:p>
    <w:p w:rsidR="00123C3A" w:rsidRDefault="002A737D">
      <w:pPr>
        <w:framePr w:w="929" w:wrap="auto" w:hAnchor="text" w:x="2087" w:y="1003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事</w:t>
      </w:r>
    </w:p>
    <w:p w:rsidR="00123C3A" w:rsidRDefault="002A737D">
      <w:pPr>
        <w:framePr w:w="839" w:wrap="auto" w:hAnchor="text" w:x="1535" w:y="1040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8</w:t>
      </w:r>
    </w:p>
    <w:p w:rsidR="00123C3A" w:rsidRDefault="002A737D">
      <w:pPr>
        <w:framePr w:w="839" w:wrap="auto" w:hAnchor="text" w:x="1535" w:y="115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9</w:t>
      </w:r>
    </w:p>
    <w:p w:rsidR="00123C3A" w:rsidRDefault="002A737D">
      <w:pPr>
        <w:framePr w:w="959" w:wrap="auto" w:hAnchor="text" w:x="1475" w:y="1275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10</w:t>
      </w:r>
    </w:p>
    <w:p w:rsidR="00123C3A" w:rsidRDefault="002A737D">
      <w:pPr>
        <w:framePr w:w="951" w:wrap="auto" w:hAnchor="text" w:x="1480" w:y="1413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11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一、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於高差二公尺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以上之工作場所邊緣及開口部分，未設置符合規定之護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欄、護蓋、安全網或配掛安全帶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之防墜設施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。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二、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於高差二公尺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以上之處所進行作業時，未使用高空工作車，或未以架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設施工架等方法設置工作臺；設置工作臺有困難時，未採取張掛安全網或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配掛安全帶之設施。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三、於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石綿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板、鐵皮板、瓦、木板、茅草、塑膠等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易踏穿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材料構築之屋頂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從事作業時，未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於屋架上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設置防止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踏穿及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寬度三十公分以上之踏板、裝設</w:t>
      </w:r>
    </w:p>
    <w:p w:rsidR="00123C3A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細明體" w:hAnsi="細明體" w:cs="細明體"/>
          <w:color w:val="000000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安全網或配掛安全帶。</w:t>
      </w:r>
    </w:p>
    <w:p w:rsidR="00EB4ED3" w:rsidRPr="00EB4ED3" w:rsidRDefault="00EB4ED3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"/>
          <w:szCs w:val="21"/>
        </w:rPr>
      </w:pP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四、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於高差超過一</w:t>
      </w: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‧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五公尺以上之場所作業，未設置符合規定之安全上下</w:t>
      </w:r>
    </w:p>
    <w:p w:rsidR="00123C3A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細明體" w:hAnsi="細明體" w:cs="細明體"/>
          <w:color w:val="000000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設備。</w:t>
      </w:r>
    </w:p>
    <w:p w:rsidR="00EA5622" w:rsidRPr="00EA5622" w:rsidRDefault="00EA5622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6"/>
          <w:szCs w:val="21"/>
        </w:rPr>
      </w:pP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五、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高差超過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二層樓或七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‧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五公尺以上之鋼構建築，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未張設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安全網，且其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下方未具有足夠淨空及工作面與安全網間具有障礙物。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六、使用移動式起重機吊掛平台從事貨物、機械等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之吊升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，鋼索於負荷狀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態且非不得已情形下，使人員進入高度二公尺以上平台運搬貨物或駕駛車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輛機械，平台未採取設置圍欄、人員未使用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安全母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索、安全帶等足以防止</w:t>
      </w:r>
    </w:p>
    <w:p w:rsidR="00123C3A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細明體" w:hAnsi="細明體" w:cs="細明體"/>
          <w:color w:val="000000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墜落之設施。</w:t>
      </w:r>
    </w:p>
    <w:p w:rsidR="00EA5622" w:rsidRPr="00EA5622" w:rsidRDefault="00EA5622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6"/>
          <w:szCs w:val="24"/>
        </w:rPr>
      </w:pP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一、對電氣機具之帶電部分，於作業進行中或通行時，有因接觸</w:t>
      </w: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 xml:space="preserve"> </w:t>
      </w:r>
      <w:r w:rsidRPr="00EA5622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(</w:t>
      </w:r>
      <w:r w:rsidRPr="00EA5622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含經由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導電體而接觸者</w:t>
      </w: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 xml:space="preserve">) </w:t>
      </w: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或接近致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發生感電之虞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者，未設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防止感電之護圍或絕緣</w:t>
      </w:r>
      <w:proofErr w:type="gramEnd"/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被覆。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二、使用對地電壓在一百五十伏特以上移動式或攜帶式電動機具，或於含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水或被其他導電度高之液體濕潤之潮濕場所、金屬板上或鋼架上等導電性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良好場所使用移動式或攜帶式電動機具，未於各該電動機具之連接電路上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設置適合其規格，具有高敏感度、高速型，能確實動作之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防止感電用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漏電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斷路器。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三、於良導體機器設備內之狹小空間，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或於鋼架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等有觸及高導電性接地物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之虞之場所，作業時所使用之交流電焊機</w:t>
      </w: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 xml:space="preserve"> </w:t>
      </w:r>
      <w:r w:rsidRPr="00EA5622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(</w:t>
      </w:r>
      <w:r w:rsidRPr="00EA5622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不含自動式焊接者</w:t>
      </w:r>
      <w:r w:rsidRPr="00EA5622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 xml:space="preserve">) </w:t>
      </w: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，未裝設自</w:t>
      </w:r>
    </w:p>
    <w:p w:rsidR="00123C3A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細明體" w:hAnsi="細明體" w:cs="細明體"/>
          <w:color w:val="000000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動電擊防止裝置。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四、於架空電線或電氣機具電路之接近場所從事工作物之裝設、解體、檢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查、修理、油漆等作業及其附屬性作業或使用車輛系營建機械、移動式起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重機、高空工作車及其他有關作業時，該作業使用之機械、車輛或勞工於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作業中或通行之際，有因接觸或接近該電路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引起感電之虞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者，未使勞工與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帶電體保持規定之接近界線距離，未設置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護圍或於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該電路四周裝置絕緣用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防護裝備或採取移開該電路之措施。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五、從事電路之檢查、修理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等活線作業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時，未使該作業勞工戴用絕緣用防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護具，或未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使用活線作業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用器具或其他類似之器具，對高壓電路未使用絕</w:t>
      </w:r>
    </w:p>
    <w:p w:rsidR="00123C3A" w:rsidRPr="00EA5622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緣工作台及其他裝備，或使勞工之身體、其使用中之工具、材料等導電體</w:t>
      </w:r>
    </w:p>
    <w:p w:rsidR="00123C3A" w:rsidRDefault="002A737D" w:rsidP="00EA5622">
      <w:pPr>
        <w:framePr w:w="7497" w:h="10296" w:hRule="exact" w:wrap="auto" w:vAnchor="page" w:hAnchor="page" w:x="2610" w:y="455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接觸或接近有使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勞工感電之虞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之電路或帶電體。</w:t>
      </w:r>
    </w:p>
    <w:p w:rsidR="00123C3A" w:rsidRDefault="00123C3A">
      <w:pPr>
        <w:framePr w:w="1020" w:wrap="auto" w:hAnchor="text" w:x="5802" w:y="1550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</w:p>
    <w:p w:rsidR="00123C3A" w:rsidRDefault="00123C3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  <w:sectPr w:rsidR="00123C3A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123C3A" w:rsidRDefault="00582A68">
      <w:pPr>
        <w:framePr w:w="1677" w:wrap="auto" w:hAnchor="text" w:x="1475" w:y="176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70B57824" wp14:editId="7CCEDDF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37D">
        <w:rPr>
          <w:rFonts w:ascii="新細明體" w:hAnsi="新細明體" w:cs="新細明體"/>
          <w:color w:val="000000"/>
          <w:kern w:val="0"/>
          <w:sz w:val="21"/>
          <w:szCs w:val="21"/>
        </w:rPr>
        <w:t xml:space="preserve">項 </w:t>
      </w:r>
      <w:r w:rsidR="00EA5622">
        <w:rPr>
          <w:rFonts w:ascii="新細明體" w:hAnsi="新細明體" w:cs="新細明體" w:hint="eastAsia"/>
          <w:color w:val="000000"/>
          <w:kern w:val="0"/>
          <w:sz w:val="21"/>
          <w:szCs w:val="21"/>
        </w:rPr>
        <w:t xml:space="preserve"> </w:t>
      </w:r>
      <w:r w:rsidR="002A737D">
        <w:rPr>
          <w:rFonts w:ascii="新細明體" w:hAnsi="新細明體" w:cs="新細明體"/>
          <w:color w:val="000000"/>
          <w:kern w:val="0"/>
          <w:sz w:val="21"/>
          <w:szCs w:val="21"/>
        </w:rPr>
        <w:t>相關</w:t>
      </w:r>
    </w:p>
    <w:p w:rsidR="00123C3A" w:rsidRDefault="002A737D">
      <w:pPr>
        <w:framePr w:w="1677" w:wrap="auto" w:hAnchor="text" w:x="1475" w:y="176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21"/>
          <w:szCs w:val="21"/>
        </w:rPr>
        <w:t xml:space="preserve">次 </w:t>
      </w:r>
      <w:r w:rsidR="00EA5622">
        <w:rPr>
          <w:rFonts w:ascii="新細明體" w:hAnsi="新細明體" w:cs="新細明體" w:hint="eastAsia"/>
          <w:color w:val="000000"/>
          <w:kern w:val="0"/>
          <w:sz w:val="21"/>
          <w:szCs w:val="21"/>
        </w:rPr>
        <w:t xml:space="preserve"> </w:t>
      </w:r>
      <w:r>
        <w:rPr>
          <w:rFonts w:ascii="新細明體" w:hAnsi="新細明體" w:cs="新細明體"/>
          <w:color w:val="000000"/>
          <w:kern w:val="0"/>
          <w:sz w:val="21"/>
          <w:szCs w:val="21"/>
        </w:rPr>
        <w:t>職災</w:t>
      </w:r>
    </w:p>
    <w:p w:rsidR="00123C3A" w:rsidRDefault="002A737D">
      <w:pPr>
        <w:framePr w:w="959" w:wrap="auto" w:hAnchor="text" w:x="1475" w:y="251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12</w:t>
      </w:r>
    </w:p>
    <w:p w:rsidR="00123C3A" w:rsidRDefault="002A737D">
      <w:pPr>
        <w:framePr w:w="959" w:wrap="auto" w:hAnchor="text" w:x="1475" w:y="321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13</w:t>
      </w:r>
    </w:p>
    <w:p w:rsidR="00123C3A" w:rsidRDefault="002A737D">
      <w:pPr>
        <w:framePr w:w="1139" w:wrap="auto" w:hAnchor="text" w:x="1982" w:y="26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有立</w:t>
      </w:r>
    </w:p>
    <w:p w:rsidR="00123C3A" w:rsidRDefault="002A737D">
      <w:pPr>
        <w:framePr w:w="1139" w:wrap="auto" w:hAnchor="text" w:x="1982" w:y="26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即發</w:t>
      </w:r>
    </w:p>
    <w:p w:rsidR="00123C3A" w:rsidRDefault="002A737D">
      <w:pPr>
        <w:framePr w:w="1139" w:wrap="auto" w:hAnchor="text" w:x="1982" w:y="26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生倒</w:t>
      </w:r>
    </w:p>
    <w:p w:rsidR="00123C3A" w:rsidRDefault="002A737D">
      <w:pPr>
        <w:framePr w:w="1139" w:wrap="auto" w:hAnchor="text" w:x="1982" w:y="26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塌、</w:t>
      </w:r>
    </w:p>
    <w:p w:rsidR="00123C3A" w:rsidRDefault="002A737D">
      <w:pPr>
        <w:framePr w:w="1139" w:wrap="auto" w:hAnchor="text" w:x="1982" w:y="26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崩塌</w:t>
      </w:r>
    </w:p>
    <w:p w:rsidR="00123C3A" w:rsidRDefault="002A737D">
      <w:pPr>
        <w:framePr w:w="1139" w:wrap="auto" w:hAnchor="text" w:x="1982" w:y="26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危險</w:t>
      </w:r>
    </w:p>
    <w:p w:rsidR="00123C3A" w:rsidRDefault="002A737D">
      <w:pPr>
        <w:framePr w:w="1139" w:wrap="auto" w:hAnchor="text" w:x="1982" w:y="26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之虞</w:t>
      </w:r>
    </w:p>
    <w:p w:rsidR="00123C3A" w:rsidRDefault="002A737D">
      <w:pPr>
        <w:framePr w:w="1139" w:wrap="auto" w:hAnchor="text" w:x="1982" w:y="26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之情</w:t>
      </w:r>
    </w:p>
    <w:p w:rsidR="00123C3A" w:rsidRDefault="002A737D">
      <w:pPr>
        <w:framePr w:w="1139" w:wrap="auto" w:hAnchor="text" w:x="1982" w:y="269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事</w:t>
      </w:r>
    </w:p>
    <w:p w:rsidR="00123C3A" w:rsidRDefault="002A737D">
      <w:pPr>
        <w:framePr w:w="959" w:wrap="auto" w:hAnchor="text" w:x="5695" w:y="192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21"/>
          <w:szCs w:val="21"/>
        </w:rPr>
        <w:t>內</w:t>
      </w:r>
    </w:p>
    <w:p w:rsidR="00123C3A" w:rsidRDefault="002A737D">
      <w:pPr>
        <w:framePr w:w="959" w:wrap="auto" w:hAnchor="text" w:x="6177" w:y="192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21"/>
          <w:szCs w:val="21"/>
        </w:rPr>
        <w:t>容</w:t>
      </w:r>
    </w:p>
    <w:p w:rsidR="00123C3A" w:rsidRDefault="002A737D">
      <w:pPr>
        <w:framePr w:w="1199" w:wrap="auto" w:hAnchor="text" w:x="9800" w:y="192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21"/>
          <w:szCs w:val="21"/>
        </w:rPr>
        <w:t>備註</w:t>
      </w:r>
    </w:p>
    <w:p w:rsidR="00123C3A" w:rsidRDefault="002A737D">
      <w:pPr>
        <w:framePr w:w="959" w:wrap="auto" w:hAnchor="text" w:x="1475" w:y="418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14</w:t>
      </w:r>
    </w:p>
    <w:p w:rsidR="00123C3A" w:rsidRDefault="002A737D">
      <w:pPr>
        <w:framePr w:w="959" w:wrap="auto" w:hAnchor="text" w:x="1475" w:y="5015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15</w:t>
      </w:r>
    </w:p>
    <w:p w:rsidR="00123C3A" w:rsidRDefault="002A737D">
      <w:pPr>
        <w:framePr w:w="959" w:wrap="auto" w:hAnchor="text" w:x="1475" w:y="571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16</w:t>
      </w:r>
    </w:p>
    <w:p w:rsidR="00123C3A" w:rsidRDefault="002A737D">
      <w:pPr>
        <w:framePr w:w="959" w:wrap="auto" w:hAnchor="text" w:x="1475" w:y="668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17</w:t>
      </w:r>
    </w:p>
    <w:p w:rsidR="00123C3A" w:rsidRDefault="002A737D">
      <w:pPr>
        <w:framePr w:w="959" w:wrap="auto" w:hAnchor="text" w:x="1475" w:y="751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18</w:t>
      </w:r>
    </w:p>
    <w:p w:rsidR="00123C3A" w:rsidRDefault="002A737D">
      <w:pPr>
        <w:framePr w:w="959" w:wrap="auto" w:hAnchor="text" w:x="1475" w:y="821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19</w:t>
      </w:r>
    </w:p>
    <w:p w:rsidR="00123C3A" w:rsidRDefault="002A737D">
      <w:pPr>
        <w:framePr w:w="959" w:wrap="auto" w:hAnchor="text" w:x="1475" w:y="891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20</w:t>
      </w:r>
    </w:p>
    <w:p w:rsidR="00123C3A" w:rsidRDefault="002A737D">
      <w:pPr>
        <w:framePr w:w="959" w:wrap="auto" w:hAnchor="text" w:x="1475" w:y="934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21</w:t>
      </w:r>
    </w:p>
    <w:p w:rsidR="00123C3A" w:rsidRDefault="002A737D">
      <w:pPr>
        <w:framePr w:w="959" w:wrap="auto" w:hAnchor="text" w:x="1475" w:y="990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22</w:t>
      </w:r>
    </w:p>
    <w:p w:rsidR="00123C3A" w:rsidRDefault="002A737D">
      <w:pPr>
        <w:framePr w:w="959" w:wrap="auto" w:hAnchor="text" w:x="1475" w:y="1073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23</w:t>
      </w:r>
    </w:p>
    <w:p w:rsidR="00123C3A" w:rsidRDefault="002A737D">
      <w:pPr>
        <w:framePr w:w="959" w:wrap="auto" w:hAnchor="text" w:x="1475" w:y="11570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24</w:t>
      </w:r>
    </w:p>
    <w:p w:rsidR="00123C3A" w:rsidRDefault="002A737D">
      <w:pPr>
        <w:framePr w:w="959" w:wrap="auto" w:hAnchor="text" w:x="1475" w:y="12269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25</w:t>
      </w:r>
    </w:p>
    <w:p w:rsidR="00123C3A" w:rsidRDefault="002A737D">
      <w:pPr>
        <w:framePr w:w="959" w:wrap="auto" w:hAnchor="text" w:x="1475" w:y="1310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26</w:t>
      </w:r>
    </w:p>
    <w:p w:rsidR="00123C3A" w:rsidRDefault="002A737D">
      <w:pPr>
        <w:framePr w:w="1139" w:wrap="auto" w:hAnchor="text" w:x="1982" w:y="632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有立</w:t>
      </w:r>
    </w:p>
    <w:p w:rsidR="00123C3A" w:rsidRDefault="002A737D">
      <w:pPr>
        <w:framePr w:w="1139" w:wrap="auto" w:hAnchor="text" w:x="1982" w:y="632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即發</w:t>
      </w:r>
    </w:p>
    <w:p w:rsidR="00123C3A" w:rsidRDefault="002A737D">
      <w:pPr>
        <w:framePr w:w="1139" w:wrap="auto" w:hAnchor="text" w:x="1982" w:y="632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生火</w:t>
      </w:r>
    </w:p>
    <w:p w:rsidR="00123C3A" w:rsidRDefault="002A737D">
      <w:pPr>
        <w:framePr w:w="1139" w:wrap="auto" w:hAnchor="text" w:x="1982" w:y="632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災、</w:t>
      </w:r>
    </w:p>
    <w:p w:rsidR="00123C3A" w:rsidRDefault="002A737D">
      <w:pPr>
        <w:framePr w:w="1139" w:wrap="auto" w:hAnchor="text" w:x="1982" w:y="632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爆炸</w:t>
      </w:r>
    </w:p>
    <w:p w:rsidR="00123C3A" w:rsidRDefault="002A737D">
      <w:pPr>
        <w:framePr w:w="1139" w:wrap="auto" w:hAnchor="text" w:x="1982" w:y="632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危險</w:t>
      </w:r>
    </w:p>
    <w:p w:rsidR="00123C3A" w:rsidRDefault="002A737D">
      <w:pPr>
        <w:framePr w:w="1139" w:wrap="auto" w:hAnchor="text" w:x="1982" w:y="632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之虞</w:t>
      </w:r>
    </w:p>
    <w:p w:rsidR="00123C3A" w:rsidRDefault="002A737D">
      <w:pPr>
        <w:framePr w:w="1139" w:wrap="auto" w:hAnchor="text" w:x="1982" w:y="632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之情</w:t>
      </w:r>
    </w:p>
    <w:p w:rsidR="00123C3A" w:rsidRDefault="002A737D">
      <w:pPr>
        <w:framePr w:w="1139" w:wrap="auto" w:hAnchor="text" w:x="1982" w:y="632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事</w:t>
      </w:r>
    </w:p>
    <w:p w:rsidR="00123C3A" w:rsidRDefault="002A737D">
      <w:pPr>
        <w:framePr w:w="959" w:wrap="auto" w:hAnchor="text" w:x="1475" w:y="1407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27</w:t>
      </w:r>
    </w:p>
    <w:p w:rsidR="00123C3A" w:rsidRDefault="002A737D">
      <w:pPr>
        <w:framePr w:w="929" w:wrap="auto" w:hAnchor="text" w:x="2087" w:y="969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有</w:t>
      </w:r>
    </w:p>
    <w:p w:rsidR="00123C3A" w:rsidRDefault="002A737D">
      <w:pPr>
        <w:framePr w:w="929" w:wrap="auto" w:hAnchor="text" w:x="2087" w:y="969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立</w:t>
      </w:r>
    </w:p>
    <w:p w:rsidR="00123C3A" w:rsidRDefault="002A737D">
      <w:pPr>
        <w:framePr w:w="929" w:wrap="auto" w:hAnchor="text" w:x="2087" w:y="969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即</w:t>
      </w:r>
    </w:p>
    <w:p w:rsidR="00123C3A" w:rsidRDefault="002A737D">
      <w:pPr>
        <w:framePr w:w="929" w:wrap="auto" w:hAnchor="text" w:x="2087" w:y="969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發</w:t>
      </w:r>
    </w:p>
    <w:p w:rsidR="00123C3A" w:rsidRDefault="002A737D">
      <w:pPr>
        <w:framePr w:w="929" w:wrap="auto" w:hAnchor="text" w:x="2087" w:y="969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生</w:t>
      </w:r>
    </w:p>
    <w:p w:rsidR="00123C3A" w:rsidRDefault="002A737D">
      <w:pPr>
        <w:framePr w:w="929" w:wrap="auto" w:hAnchor="text" w:x="2087" w:y="969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中</w:t>
      </w:r>
    </w:p>
    <w:p w:rsidR="00123C3A" w:rsidRDefault="002A737D">
      <w:pPr>
        <w:framePr w:w="929" w:wrap="auto" w:hAnchor="text" w:x="2087" w:y="969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毒</w:t>
      </w:r>
    </w:p>
    <w:p w:rsidR="00123C3A" w:rsidRDefault="002A737D">
      <w:pPr>
        <w:framePr w:w="929" w:wrap="auto" w:hAnchor="text" w:x="2087" w:y="969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、</w:t>
      </w:r>
    </w:p>
    <w:p w:rsidR="00123C3A" w:rsidRDefault="002A737D">
      <w:pPr>
        <w:framePr w:w="929" w:wrap="auto" w:hAnchor="text" w:x="2087" w:y="969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缺</w:t>
      </w:r>
    </w:p>
    <w:p w:rsidR="00123C3A" w:rsidRDefault="002A737D">
      <w:pPr>
        <w:framePr w:w="929" w:wrap="auto" w:hAnchor="text" w:x="2087" w:y="969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氧</w:t>
      </w:r>
    </w:p>
    <w:p w:rsidR="00123C3A" w:rsidRDefault="002A737D">
      <w:pPr>
        <w:framePr w:w="929" w:wrap="auto" w:hAnchor="text" w:x="2087" w:y="969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危</w:t>
      </w:r>
    </w:p>
    <w:p w:rsidR="00123C3A" w:rsidRDefault="002A737D">
      <w:pPr>
        <w:framePr w:w="929" w:wrap="auto" w:hAnchor="text" w:x="2087" w:y="969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險</w:t>
      </w:r>
    </w:p>
    <w:p w:rsidR="00123C3A" w:rsidRDefault="002A737D">
      <w:pPr>
        <w:framePr w:w="929" w:wrap="auto" w:hAnchor="text" w:x="2087" w:y="969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之</w:t>
      </w:r>
    </w:p>
    <w:p w:rsidR="00123C3A" w:rsidRDefault="002A737D">
      <w:pPr>
        <w:framePr w:w="929" w:wrap="auto" w:hAnchor="text" w:x="2087" w:y="969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虞</w:t>
      </w:r>
    </w:p>
    <w:p w:rsidR="00123C3A" w:rsidRDefault="002A737D">
      <w:pPr>
        <w:framePr w:w="929" w:wrap="auto" w:hAnchor="text" w:x="2087" w:y="969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之</w:t>
      </w:r>
    </w:p>
    <w:p w:rsidR="00123C3A" w:rsidRDefault="002A737D">
      <w:pPr>
        <w:framePr w:w="929" w:wrap="auto" w:hAnchor="text" w:x="2087" w:y="969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情</w:t>
      </w:r>
    </w:p>
    <w:p w:rsidR="00123C3A" w:rsidRDefault="002A737D">
      <w:pPr>
        <w:framePr w:w="929" w:wrap="auto" w:hAnchor="text" w:x="2087" w:y="969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事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一、施工架之垂直方向五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‧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五公尺、水平方向七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‧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五公尺內，未與穩定構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造物妥實連接。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二、露天開挖場所開挖深度在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一</w:t>
      </w: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‧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五公尺以上，或有地面崩塌、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土石飛落</w:t>
      </w:r>
      <w:proofErr w:type="gramEnd"/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之虞時，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未設擋土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支撐、反循環樁、連續壁、邊坡保護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或張設防護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網之設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施。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三、隧道、坑道作業有落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磐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或土石崩塌之虞，未設置支撐、岩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栓或噴凝土</w:t>
      </w:r>
      <w:proofErr w:type="gramEnd"/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之支持構造及未清除浮石；隧道、坑道進出口附近表土有崩塌或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土石飛落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，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未設置擋土支撐、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張設防護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網、清除浮石或邊坡保護之措施，進出口之地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質惡劣時，未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採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鋼筋混凝土從事洞口之防護。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四、模板支撐支柱基礎之周邊易積水，導致地盤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軟弱，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或軟弱地盤未強化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承載力。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一、對於有危險物或有油類、可燃性粉塵等其他危險物存在之配管、儲槽、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油桶等容器，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從事熔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接、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熔斷或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使用明火之作業或有發生火花之虞之作業，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未事先清除該等物質，並確認安全無虞。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二、對於存有易燃液體之蒸氣或有可燃性氣體滯留，而有火災、爆炸之作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業場所，未於作業前測定前述蒸氣、氣體之濃度；或其濃度爆炸下限值之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百分之三十以上時，未即刻使勞工退避至安全場所，並停止使用煙火及其</w:t>
      </w:r>
    </w:p>
    <w:p w:rsidR="00123C3A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細明體" w:hAnsi="細明體" w:cs="細明體"/>
          <w:color w:val="000000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他點火源之機具。</w:t>
      </w:r>
    </w:p>
    <w:p w:rsidR="00EA5622" w:rsidRPr="00582A68" w:rsidRDefault="00EA5622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8"/>
          <w:szCs w:val="21"/>
        </w:rPr>
      </w:pPr>
    </w:p>
    <w:p w:rsidR="00123C3A" w:rsidRPr="00864E15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864E15">
        <w:rPr>
          <w:rFonts w:ascii="細明體" w:hAnsi="細明體" w:cs="細明體"/>
          <w:color w:val="000000"/>
          <w:kern w:val="0"/>
          <w:sz w:val="20"/>
          <w:szCs w:val="20"/>
        </w:rPr>
        <w:t>三、對於存有易燃液體之蒸氣、可燃性氣體或可燃性粉塵，致有引起火災、</w:t>
      </w:r>
    </w:p>
    <w:p w:rsidR="00123C3A" w:rsidRPr="00864E15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0"/>
          <w:szCs w:val="20"/>
        </w:rPr>
      </w:pPr>
      <w:r w:rsidRPr="00864E15">
        <w:rPr>
          <w:rFonts w:ascii="細明體" w:hAnsi="細明體" w:cs="細明體"/>
          <w:color w:val="000000"/>
          <w:kern w:val="0"/>
          <w:sz w:val="20"/>
          <w:szCs w:val="20"/>
        </w:rPr>
        <w:t>爆炸之工作場所，未有通風、換氣、除塵、去除靜電等必要設施。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四、對於化學設備及其附屬設備之改善、修理、清掃、拆卸等作業，有危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險物洩漏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致危害作業勞工之虞，未指定專人依規定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將閥或旋塞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設置雙重關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閉或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設置盲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板。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五、對於設置熔融高熱物處理設備之建築物及處理、廢棄高熱礦渣之場所，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未設有良好排水設備及其他足以防止蒸氣爆炸之必要措施。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六、局限空間作業場所，使用純氧換氣。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一、於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曾裝儲有機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溶劑或其混合物之儲槽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內部、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通風不充分之室內作業場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所，或在未設有密閉設備、局部排氣裝置或整體換氣裝置之儲槽等之作業</w:t>
      </w:r>
    </w:p>
    <w:p w:rsidR="00123C3A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細明體" w:hAnsi="細明體" w:cs="細明體"/>
          <w:color w:val="000000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場所，未供給作業勞工輸氣管面罩，並使其確實佩戴使用。</w:t>
      </w:r>
    </w:p>
    <w:p w:rsidR="00582A68" w:rsidRPr="00582A68" w:rsidRDefault="00582A68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4"/>
          <w:szCs w:val="21"/>
        </w:rPr>
      </w:pP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二、製造、處置或使用特定化學物質危害預防標準所稱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之丙類第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一種或丁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類物質之特定化學管理設備時，未設置適當之溫度、壓力及流量之計測裝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置及發生異常之自動警報裝置。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三、製造、處置或使用特定化學物質危害預防標準所稱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之丙類第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一種及丁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類物質之特定化學管理設備，未設遮斷原料、材料、物料之供輸、未設卸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放製品之裝置、未設冷卻用水之裝置，或未供輸惰性氣體。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四、處置或使用特定化學物質危害預防標準所稱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之丙類第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一種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或丁類物質</w:t>
      </w:r>
      <w:proofErr w:type="gramEnd"/>
    </w:p>
    <w:p w:rsidR="00123C3A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細明體" w:hAnsi="細明體" w:cs="細明體"/>
          <w:color w:val="000000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時，未設洩漏時能立即警報之器具及除卻危害必要藥劑容器之設施。</w:t>
      </w:r>
    </w:p>
    <w:p w:rsidR="00582A68" w:rsidRPr="00582A68" w:rsidRDefault="00582A68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4"/>
          <w:szCs w:val="21"/>
        </w:rPr>
      </w:pP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五、在人孔、下水道、溝渠、污</w:t>
      </w: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 xml:space="preserve"> </w:t>
      </w:r>
      <w:r w:rsidRPr="00EA5622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(</w:t>
      </w:r>
      <w:r w:rsidRPr="00EA5622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蓄</w:t>
      </w:r>
      <w:r w:rsidRPr="00EA5622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 xml:space="preserve">) </w:t>
      </w: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水池、坑道、隧道、水井、集水</w:t>
      </w: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 xml:space="preserve"> </w:t>
      </w:r>
      <w:r w:rsidRPr="00EA5622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(</w:t>
      </w:r>
      <w:r w:rsidRPr="00EA5622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液</w:t>
      </w:r>
      <w:r w:rsidRPr="00EA5622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)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井、沈箱、儲槽、反應器、蒸餾塔、生</w:t>
      </w: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 xml:space="preserve"> </w:t>
      </w:r>
      <w:r w:rsidRPr="00EA5622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(</w:t>
      </w:r>
      <w:r w:rsidRPr="00EA5622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消</w:t>
      </w:r>
      <w:r w:rsidRPr="00EA5622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 xml:space="preserve">) 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化槽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、穀倉、船艙、逆打工法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之地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下層、筏基坑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、溫泉業之硫磺儲水桶及其他自然換氣不充分之工作場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所有下列情形之一時：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(</w:t>
      </w:r>
      <w:proofErr w:type="gramStart"/>
      <w:r w:rsidRPr="00EA5622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一</w:t>
      </w:r>
      <w:proofErr w:type="gramEnd"/>
      <w:r w:rsidRPr="00EA5622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 xml:space="preserve">) </w:t>
      </w: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空氣中氧氣濃度未滿百分之十八、硫化氫濃度超過十</w:t>
      </w: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 xml:space="preserve"> </w:t>
      </w:r>
      <w:r w:rsidRPr="00EA5622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 xml:space="preserve">PPM </w:t>
      </w: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或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一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氧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化碳濃度超過三十五</w:t>
      </w: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 xml:space="preserve"> </w:t>
      </w:r>
      <w:r w:rsidRPr="00EA5622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 xml:space="preserve">PPM </w:t>
      </w: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時，未確實配戴空氣呼吸器等呼吸防護具、安</w:t>
      </w:r>
    </w:p>
    <w:p w:rsidR="00123C3A" w:rsidRPr="00EA5622" w:rsidRDefault="002A737D">
      <w:pPr>
        <w:framePr w:w="7547" w:wrap="auto" w:hAnchor="text" w:x="2669" w:y="2401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全帶及</w:t>
      </w:r>
      <w:proofErr w:type="gramStart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安全索</w:t>
      </w:r>
      <w:proofErr w:type="gramEnd"/>
      <w:r w:rsidRPr="00EA5622">
        <w:rPr>
          <w:rFonts w:ascii="細明體" w:hAnsi="細明體" w:cs="細明體"/>
          <w:color w:val="000000"/>
          <w:kern w:val="0"/>
          <w:sz w:val="21"/>
          <w:szCs w:val="21"/>
        </w:rPr>
        <w:t>。</w:t>
      </w:r>
    </w:p>
    <w:p w:rsidR="00123C3A" w:rsidRDefault="00123C3A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2A737D" w:rsidRDefault="002A73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27ECD" w:rsidRDefault="00427ECD" w:rsidP="00427EC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27ECD" w:rsidRDefault="00427ECD" w:rsidP="00427EC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27ECD" w:rsidRDefault="00427ECD" w:rsidP="00427EC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27ECD" w:rsidRDefault="00427ECD" w:rsidP="00427EC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27ECD" w:rsidRDefault="00427ECD" w:rsidP="00427EC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27ECD" w:rsidRDefault="00427ECD" w:rsidP="00427EC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27ECD" w:rsidRDefault="00427ECD" w:rsidP="00427EC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27ECD" w:rsidRDefault="00427ECD" w:rsidP="00427EC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27ECD" w:rsidRDefault="00427ECD" w:rsidP="00427EC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27ECD" w:rsidRDefault="00427ECD" w:rsidP="00427EC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27ECD" w:rsidRDefault="00427ECD" w:rsidP="00427EC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27ECD" w:rsidRDefault="00427ECD" w:rsidP="00427EC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27ECD" w:rsidRDefault="00427ECD" w:rsidP="00427EC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27ECD" w:rsidRDefault="00427ECD" w:rsidP="00427EC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427ECD" w:rsidRPr="00427ECD" w:rsidRDefault="00427ECD" w:rsidP="00427ECD">
      <w:pPr>
        <w:framePr w:w="7496" w:wrap="auto" w:hAnchor="text" w:x="2668" w:y="238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427ECD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(</w:t>
      </w:r>
      <w:r w:rsidRPr="00427ECD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二</w:t>
      </w:r>
      <w:r w:rsidRPr="00427ECD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 xml:space="preserve">) </w:t>
      </w:r>
      <w:r w:rsidRPr="00427ECD">
        <w:rPr>
          <w:rFonts w:ascii="細明體" w:hAnsi="細明體" w:cs="細明體"/>
          <w:color w:val="000000"/>
          <w:kern w:val="0"/>
          <w:sz w:val="21"/>
          <w:szCs w:val="21"/>
        </w:rPr>
        <w:t>未確實配戴空氣呼吸器等呼吸防護具時，未置備通風設備予以適當</w:t>
      </w:r>
    </w:p>
    <w:p w:rsidR="00427ECD" w:rsidRPr="00427ECD" w:rsidRDefault="00427ECD" w:rsidP="00427ECD">
      <w:pPr>
        <w:framePr w:w="7496" w:wrap="auto" w:hAnchor="text" w:x="2668" w:y="238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427ECD">
        <w:rPr>
          <w:rFonts w:ascii="細明體" w:hAnsi="細明體" w:cs="細明體"/>
          <w:color w:val="000000"/>
          <w:kern w:val="0"/>
          <w:sz w:val="21"/>
          <w:szCs w:val="21"/>
        </w:rPr>
        <w:t>換氣，或未置備空氣中氧氣、硫化氫、一氧化碳濃度之測定儀器，並未</w:t>
      </w:r>
    </w:p>
    <w:p w:rsidR="00427ECD" w:rsidRPr="00427ECD" w:rsidRDefault="00427ECD" w:rsidP="00427ECD">
      <w:pPr>
        <w:framePr w:w="7496" w:wrap="auto" w:hAnchor="text" w:x="2668" w:y="238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1"/>
          <w:szCs w:val="21"/>
        </w:rPr>
      </w:pPr>
      <w:r w:rsidRPr="00427ECD">
        <w:rPr>
          <w:rFonts w:ascii="細明體" w:hAnsi="細明體" w:cs="細明體"/>
          <w:color w:val="000000"/>
          <w:kern w:val="0"/>
          <w:sz w:val="21"/>
          <w:szCs w:val="21"/>
        </w:rPr>
        <w:t>隨時測定保持氧氣濃度在百分之十八以上、硫化氫濃度在十</w:t>
      </w:r>
      <w:r w:rsidRPr="00427ECD">
        <w:rPr>
          <w:rFonts w:ascii="細明體" w:hAnsi="細明體" w:cs="細明體"/>
          <w:color w:val="000000"/>
          <w:kern w:val="0"/>
          <w:sz w:val="21"/>
          <w:szCs w:val="21"/>
        </w:rPr>
        <w:t xml:space="preserve"> </w:t>
      </w:r>
      <w:r w:rsidRPr="00427ECD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 xml:space="preserve">PPM </w:t>
      </w:r>
      <w:r w:rsidRPr="00427ECD">
        <w:rPr>
          <w:rFonts w:ascii="細明體" w:hAnsi="細明體" w:cs="細明體"/>
          <w:color w:val="000000"/>
          <w:kern w:val="0"/>
          <w:sz w:val="21"/>
          <w:szCs w:val="21"/>
        </w:rPr>
        <w:t>以下</w:t>
      </w:r>
    </w:p>
    <w:p w:rsidR="00427ECD" w:rsidRDefault="00427ECD" w:rsidP="00427ECD">
      <w:pPr>
        <w:framePr w:w="7496" w:wrap="auto" w:hAnchor="text" w:x="2668" w:y="2382"/>
        <w:autoSpaceDE w:val="0"/>
        <w:autoSpaceDN w:val="0"/>
        <w:adjustRightInd w:val="0"/>
        <w:snapToGrid w:val="0"/>
        <w:rPr>
          <w:rFonts w:ascii="細明體" w:hAnsi="細明體" w:cs="細明體"/>
          <w:color w:val="000000"/>
          <w:kern w:val="0"/>
          <w:sz w:val="21"/>
          <w:szCs w:val="21"/>
        </w:rPr>
      </w:pPr>
      <w:r w:rsidRPr="00427ECD">
        <w:rPr>
          <w:rFonts w:ascii="細明體" w:hAnsi="細明體" w:cs="細明體"/>
          <w:color w:val="000000"/>
          <w:kern w:val="0"/>
          <w:sz w:val="21"/>
          <w:szCs w:val="21"/>
        </w:rPr>
        <w:t>及一氧化碳濃度在三十五</w:t>
      </w:r>
      <w:r w:rsidRPr="00427ECD">
        <w:rPr>
          <w:rFonts w:ascii="細明體" w:hAnsi="細明體" w:cs="細明體"/>
          <w:color w:val="000000"/>
          <w:kern w:val="0"/>
          <w:sz w:val="21"/>
          <w:szCs w:val="21"/>
        </w:rPr>
        <w:t xml:space="preserve"> </w:t>
      </w:r>
      <w:r w:rsidRPr="00427ECD"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 xml:space="preserve">PPM </w:t>
      </w:r>
      <w:r w:rsidRPr="00427ECD">
        <w:rPr>
          <w:rFonts w:ascii="細明體" w:hAnsi="細明體" w:cs="細明體"/>
          <w:color w:val="000000"/>
          <w:kern w:val="0"/>
          <w:sz w:val="21"/>
          <w:szCs w:val="21"/>
        </w:rPr>
        <w:t>以下。</w:t>
      </w:r>
    </w:p>
    <w:p w:rsidR="00427ECD" w:rsidRPr="00427ECD" w:rsidRDefault="00427ECD" w:rsidP="00427ECD">
      <w:pPr>
        <w:framePr w:w="7496" w:wrap="auto" w:hAnchor="text" w:x="2668" w:y="238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6"/>
          <w:szCs w:val="21"/>
        </w:rPr>
      </w:pPr>
    </w:p>
    <w:p w:rsidR="00427ECD" w:rsidRPr="00427ECD" w:rsidRDefault="00427ECD" w:rsidP="00427ECD">
      <w:pPr>
        <w:framePr w:w="7496" w:wrap="auto" w:hAnchor="text" w:x="2668" w:y="238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8"/>
          <w:szCs w:val="24"/>
        </w:rPr>
      </w:pPr>
      <w:r w:rsidRPr="00427ECD">
        <w:rPr>
          <w:rFonts w:ascii="細明體" w:hAnsi="細明體" w:cs="細明體"/>
          <w:color w:val="000000"/>
          <w:kern w:val="0"/>
          <w:sz w:val="22"/>
          <w:szCs w:val="19"/>
        </w:rPr>
        <w:t>高度二公尺以上作業未</w:t>
      </w:r>
      <w:proofErr w:type="gramStart"/>
      <w:r w:rsidRPr="00427ECD">
        <w:rPr>
          <w:rFonts w:ascii="細明體" w:hAnsi="細明體" w:cs="細明體"/>
          <w:color w:val="000000"/>
          <w:kern w:val="0"/>
          <w:sz w:val="22"/>
          <w:szCs w:val="19"/>
        </w:rPr>
        <w:t>設置防墜措施</w:t>
      </w:r>
      <w:proofErr w:type="gramEnd"/>
      <w:r w:rsidRPr="00427ECD">
        <w:rPr>
          <w:rFonts w:ascii="細明體" w:hAnsi="細明體" w:cs="細明體"/>
          <w:color w:val="000000"/>
          <w:kern w:val="0"/>
          <w:sz w:val="22"/>
          <w:szCs w:val="19"/>
        </w:rPr>
        <w:t>及未使勞工使用適當之個人防護具</w:t>
      </w:r>
    </w:p>
    <w:p w:rsidR="00427ECD" w:rsidRPr="00427ECD" w:rsidRDefault="00427ECD" w:rsidP="00427ECD">
      <w:pPr>
        <w:framePr w:w="7496" w:wrap="auto" w:hAnchor="text" w:x="2668" w:y="2382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 w:val="28"/>
          <w:szCs w:val="24"/>
        </w:rPr>
      </w:pPr>
      <w:r w:rsidRPr="00427ECD">
        <w:rPr>
          <w:rFonts w:ascii="細明體" w:hAnsi="細明體" w:cs="細明體"/>
          <w:color w:val="000000"/>
          <w:kern w:val="0"/>
          <w:sz w:val="22"/>
          <w:szCs w:val="19"/>
        </w:rPr>
        <w:t>，有立即發生墜落危險之虞時。</w:t>
      </w:r>
    </w:p>
    <w:p w:rsidR="00427ECD" w:rsidRDefault="00427ECD" w:rsidP="00427ECD">
      <w:pPr>
        <w:framePr w:w="1139" w:wrap="auto" w:hAnchor="text" w:x="1982" w:y="350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防護</w:t>
      </w:r>
    </w:p>
    <w:p w:rsidR="00427ECD" w:rsidRDefault="00427ECD" w:rsidP="00427ECD">
      <w:pPr>
        <w:framePr w:w="1139" w:wrap="auto" w:hAnchor="text" w:x="1982" w:y="350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具不</w:t>
      </w:r>
    </w:p>
    <w:p w:rsidR="00427ECD" w:rsidRDefault="00427ECD" w:rsidP="00427ECD">
      <w:pPr>
        <w:framePr w:w="1139" w:wrap="auto" w:hAnchor="text" w:x="1982" w:y="3508"/>
        <w:autoSpaceDE w:val="0"/>
        <w:autoSpaceDN w:val="0"/>
        <w:adjustRightInd w:val="0"/>
        <w:snapToGrid w:val="0"/>
        <w:rPr>
          <w:rFonts w:ascii="細明體" w:hAnsi="細明體" w:cs="細明體"/>
          <w:color w:val="000000"/>
          <w:kern w:val="0"/>
          <w:sz w:val="19"/>
          <w:szCs w:val="19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當</w:t>
      </w:r>
    </w:p>
    <w:p w:rsidR="00427ECD" w:rsidRDefault="00427ECD" w:rsidP="00427ECD">
      <w:pPr>
        <w:framePr w:w="1139" w:wrap="auto" w:hAnchor="text" w:x="1982" w:y="3508"/>
        <w:autoSpaceDE w:val="0"/>
        <w:autoSpaceDN w:val="0"/>
        <w:adjustRightInd w:val="0"/>
        <w:snapToGrid w:val="0"/>
        <w:rPr>
          <w:rFonts w:ascii="細明體" w:hAnsi="細明體" w:cs="細明體"/>
          <w:color w:val="000000"/>
          <w:kern w:val="0"/>
          <w:sz w:val="19"/>
          <w:szCs w:val="19"/>
        </w:rPr>
      </w:pPr>
    </w:p>
    <w:p w:rsidR="00427ECD" w:rsidRDefault="00427ECD" w:rsidP="00427ECD">
      <w:pPr>
        <w:framePr w:w="1139" w:wrap="auto" w:hAnchor="text" w:x="1982" w:y="3508"/>
        <w:autoSpaceDE w:val="0"/>
        <w:autoSpaceDN w:val="0"/>
        <w:adjustRightInd w:val="0"/>
        <w:snapToGrid w:val="0"/>
        <w:rPr>
          <w:rFonts w:ascii="細明體" w:hAnsi="細明體" w:cs="細明體"/>
          <w:color w:val="000000"/>
          <w:kern w:val="0"/>
          <w:sz w:val="19"/>
          <w:szCs w:val="19"/>
        </w:rPr>
      </w:pPr>
      <w:r>
        <w:rPr>
          <w:rFonts w:ascii="細明體" w:hAnsi="細明體" w:cs="細明體" w:hint="eastAsia"/>
          <w:color w:val="000000"/>
          <w:kern w:val="0"/>
          <w:sz w:val="19"/>
          <w:szCs w:val="19"/>
        </w:rPr>
        <w:t>被撞</w:t>
      </w:r>
    </w:p>
    <w:p w:rsidR="00427ECD" w:rsidRDefault="00427ECD" w:rsidP="00427ECD">
      <w:pPr>
        <w:framePr w:w="959" w:wrap="auto" w:hAnchor="text" w:x="1475" w:y="2786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28</w:t>
      </w:r>
    </w:p>
    <w:p w:rsidR="00427ECD" w:rsidRDefault="00427ECD" w:rsidP="00427ECD">
      <w:pPr>
        <w:framePr w:w="959" w:wrap="auto" w:hAnchor="text" w:x="1475" w:y="3757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29</w:t>
      </w:r>
    </w:p>
    <w:p w:rsidR="00427ECD" w:rsidRDefault="00427ECD" w:rsidP="00427ECD">
      <w:pPr>
        <w:framePr w:w="959" w:wrap="auto" w:hAnchor="text" w:x="5695" w:y="192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21"/>
          <w:szCs w:val="21"/>
        </w:rPr>
        <w:t>內</w:t>
      </w:r>
      <w:r>
        <w:rPr>
          <w:rFonts w:ascii="新細明體" w:hAnsi="新細明體" w:cs="新細明體" w:hint="eastAsia"/>
          <w:color w:val="000000"/>
          <w:kern w:val="0"/>
          <w:sz w:val="21"/>
          <w:szCs w:val="21"/>
        </w:rPr>
        <w:t xml:space="preserve">  容</w:t>
      </w:r>
    </w:p>
    <w:p w:rsidR="00427ECD" w:rsidRDefault="00427ECD" w:rsidP="00427ECD">
      <w:pPr>
        <w:framePr w:w="1199" w:wrap="auto" w:hAnchor="text" w:x="9800" w:y="192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21"/>
          <w:szCs w:val="21"/>
        </w:rPr>
        <w:t>備註</w:t>
      </w:r>
    </w:p>
    <w:p w:rsidR="00427ECD" w:rsidRDefault="00427ECD" w:rsidP="00427ECD">
      <w:pPr>
        <w:framePr w:w="1677" w:wrap="auto" w:hAnchor="text" w:x="1475" w:y="176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3DDF2C17" wp14:editId="35AB471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 w:cs="新細明體"/>
          <w:color w:val="000000"/>
          <w:kern w:val="0"/>
          <w:sz w:val="21"/>
          <w:szCs w:val="21"/>
        </w:rPr>
        <w:t xml:space="preserve">項 </w:t>
      </w:r>
      <w:r>
        <w:rPr>
          <w:rFonts w:ascii="新細明體" w:hAnsi="新細明體" w:cs="新細明體" w:hint="eastAsia"/>
          <w:color w:val="000000"/>
          <w:kern w:val="0"/>
          <w:sz w:val="21"/>
          <w:szCs w:val="21"/>
        </w:rPr>
        <w:t xml:space="preserve"> </w:t>
      </w:r>
      <w:r>
        <w:rPr>
          <w:rFonts w:ascii="新細明體" w:hAnsi="新細明體" w:cs="新細明體"/>
          <w:color w:val="000000"/>
          <w:kern w:val="0"/>
          <w:sz w:val="21"/>
          <w:szCs w:val="21"/>
        </w:rPr>
        <w:t>相關</w:t>
      </w:r>
    </w:p>
    <w:p w:rsidR="00427ECD" w:rsidRDefault="00427ECD" w:rsidP="00427ECD">
      <w:pPr>
        <w:framePr w:w="1677" w:wrap="auto" w:hAnchor="text" w:x="1475" w:y="1768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新細明體" w:hAnsi="新細明體" w:cs="新細明體"/>
          <w:color w:val="000000"/>
          <w:kern w:val="0"/>
          <w:sz w:val="21"/>
          <w:szCs w:val="21"/>
        </w:rPr>
        <w:t xml:space="preserve">次 </w:t>
      </w:r>
      <w:r>
        <w:rPr>
          <w:rFonts w:ascii="新細明體" w:hAnsi="新細明體" w:cs="新細明體" w:hint="eastAsia"/>
          <w:color w:val="000000"/>
          <w:kern w:val="0"/>
          <w:sz w:val="21"/>
          <w:szCs w:val="21"/>
        </w:rPr>
        <w:t xml:space="preserve"> </w:t>
      </w:r>
      <w:r>
        <w:rPr>
          <w:rFonts w:ascii="新細明體" w:hAnsi="新細明體" w:cs="新細明體"/>
          <w:color w:val="000000"/>
          <w:kern w:val="0"/>
          <w:sz w:val="21"/>
          <w:szCs w:val="21"/>
        </w:rPr>
        <w:t>職災</w:t>
      </w:r>
    </w:p>
    <w:p w:rsidR="00427ECD" w:rsidRDefault="00427ECD" w:rsidP="00427ECD">
      <w:pPr>
        <w:framePr w:w="7438" w:wrap="auto" w:hAnchor="text" w:x="2669" w:y="434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細明體" w:hAnsi="細明體" w:cs="細明體"/>
          <w:color w:val="000000"/>
          <w:kern w:val="0"/>
          <w:sz w:val="19"/>
          <w:szCs w:val="19"/>
        </w:rPr>
        <w:t>於</w:t>
      </w:r>
      <w:proofErr w:type="gramStart"/>
      <w:r>
        <w:rPr>
          <w:rFonts w:ascii="細明體" w:hAnsi="細明體" w:cs="細明體"/>
          <w:color w:val="000000"/>
          <w:kern w:val="0"/>
          <w:sz w:val="19"/>
          <w:szCs w:val="19"/>
        </w:rPr>
        <w:t>道路或臨接</w:t>
      </w:r>
      <w:proofErr w:type="gramEnd"/>
      <w:r>
        <w:rPr>
          <w:rFonts w:ascii="細明體" w:hAnsi="細明體" w:cs="細明體"/>
          <w:color w:val="000000"/>
          <w:kern w:val="0"/>
          <w:sz w:val="19"/>
          <w:szCs w:val="19"/>
        </w:rPr>
        <w:t>道路從事作業，未採取安衛措施，致有立即發生交通事故之</w:t>
      </w:r>
    </w:p>
    <w:p w:rsidR="00427ECD" w:rsidRDefault="00427ECD" w:rsidP="00427ECD">
      <w:pPr>
        <w:framePr w:w="7438" w:wrap="auto" w:hAnchor="text" w:x="2669" w:y="4343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proofErr w:type="gramStart"/>
      <w:r>
        <w:rPr>
          <w:rFonts w:ascii="細明體" w:hAnsi="細明體" w:cs="細明體"/>
          <w:color w:val="000000"/>
          <w:kern w:val="0"/>
          <w:sz w:val="19"/>
          <w:szCs w:val="19"/>
        </w:rPr>
        <w:t>虞時</w:t>
      </w:r>
      <w:proofErr w:type="gramEnd"/>
      <w:r>
        <w:rPr>
          <w:rFonts w:ascii="細明體" w:hAnsi="細明體" w:cs="細明體"/>
          <w:color w:val="000000"/>
          <w:kern w:val="0"/>
          <w:sz w:val="19"/>
          <w:szCs w:val="19"/>
        </w:rPr>
        <w:t>。</w:t>
      </w:r>
    </w:p>
    <w:p w:rsidR="00427ECD" w:rsidRDefault="00427ECD" w:rsidP="00427ECD">
      <w:pPr>
        <w:framePr w:w="959" w:wrap="auto" w:hAnchor="text" w:x="1475" w:y="4454"/>
        <w:autoSpaceDE w:val="0"/>
        <w:autoSpaceDN w:val="0"/>
        <w:adjustRightInd w:val="0"/>
        <w:snapToGri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PSMT" w:hAnsi="Times New RomanPSMT" w:cs="Times New RomanPSMT"/>
          <w:color w:val="000000"/>
          <w:kern w:val="0"/>
          <w:sz w:val="21"/>
          <w:szCs w:val="21"/>
        </w:rPr>
        <w:t>30</w:t>
      </w:r>
    </w:p>
    <w:p w:rsidR="002A737D" w:rsidRDefault="00427ECD" w:rsidP="00427EC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      </w:t>
      </w:r>
      <w:r>
        <w:rPr>
          <w:rFonts w:ascii="Times New Roman" w:hAnsi="Times New Roman" w:cs="Times New Roman"/>
          <w:noProof/>
          <w:kern w:val="0"/>
          <w:szCs w:val="24"/>
        </w:rPr>
        <w:drawing>
          <wp:anchor distT="0" distB="0" distL="114300" distR="114300" simplePos="0" relativeHeight="251660288" behindDoc="1" locked="0" layoutInCell="0" allowOverlap="1" wp14:anchorId="0D2A16AB" wp14:editId="22B4469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737D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E7" w:rsidRDefault="008237E7" w:rsidP="00427ECD">
      <w:r>
        <w:separator/>
      </w:r>
    </w:p>
  </w:endnote>
  <w:endnote w:type="continuationSeparator" w:id="0">
    <w:p w:rsidR="008237E7" w:rsidRDefault="008237E7" w:rsidP="0042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E7" w:rsidRDefault="008237E7" w:rsidP="00427ECD">
      <w:r>
        <w:separator/>
      </w:r>
    </w:p>
  </w:footnote>
  <w:footnote w:type="continuationSeparator" w:id="0">
    <w:p w:rsidR="008237E7" w:rsidRDefault="008237E7" w:rsidP="0042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22"/>
    <w:rsid w:val="00123C3A"/>
    <w:rsid w:val="002A737D"/>
    <w:rsid w:val="00427ECD"/>
    <w:rsid w:val="00582A68"/>
    <w:rsid w:val="008237E7"/>
    <w:rsid w:val="008358CC"/>
    <w:rsid w:val="00864E15"/>
    <w:rsid w:val="00970F5E"/>
    <w:rsid w:val="00B047EE"/>
    <w:rsid w:val="00CE66E9"/>
    <w:rsid w:val="00EA5622"/>
    <w:rsid w:val="00E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7E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7E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7E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7E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2464</Characters>
  <Application>Microsoft Office Word</Application>
  <DocSecurity>0</DocSecurity>
  <Lines>20</Lines>
  <Paragraphs>5</Paragraphs>
  <ScaleCrop>false</ScaleCrop>
  <Company>VeryPDF.com Inc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張馨文</cp:lastModifiedBy>
  <cp:revision>2</cp:revision>
  <cp:lastPrinted>2015-09-04T09:24:00Z</cp:lastPrinted>
  <dcterms:created xsi:type="dcterms:W3CDTF">2019-06-25T02:58:00Z</dcterms:created>
  <dcterms:modified xsi:type="dcterms:W3CDTF">2019-06-25T02:58:00Z</dcterms:modified>
</cp:coreProperties>
</file>